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E95394" w:rsidP="00645C65">
            <w:r>
              <w:t>Sept</w:t>
            </w:r>
            <w:r w:rsidR="00D471B5">
              <w:t>. 2014</w:t>
            </w:r>
          </w:p>
        </w:tc>
        <w:tc>
          <w:tcPr>
            <w:tcW w:w="3420" w:type="dxa"/>
            <w:gridSpan w:val="2"/>
          </w:tcPr>
          <w:p w:rsidR="00BC5773" w:rsidRDefault="00BC5773">
            <w:r>
              <w:rPr>
                <w:b/>
                <w:lang w:val="en-GB"/>
              </w:rPr>
              <w:t>PREVIOUS OUTLINE DATED:</w:t>
            </w:r>
          </w:p>
        </w:tc>
        <w:tc>
          <w:tcPr>
            <w:tcW w:w="1458" w:type="dxa"/>
            <w:gridSpan w:val="2"/>
          </w:tcPr>
          <w:p w:rsidR="00BC5773" w:rsidRDefault="00E95394" w:rsidP="00D471B5">
            <w:r>
              <w:t>Jan. 2014</w:t>
            </w:r>
          </w:p>
        </w:tc>
      </w:tr>
      <w:tr w:rsidR="00BC5773">
        <w:trPr>
          <w:cantSplit/>
        </w:trPr>
        <w:tc>
          <w:tcPr>
            <w:tcW w:w="2518" w:type="dxa"/>
          </w:tcPr>
          <w:p w:rsidR="00BC5773" w:rsidRDefault="00BC5773">
            <w:r>
              <w:rPr>
                <w:b/>
                <w:lang w:val="en-GB"/>
              </w:rPr>
              <w:t>APPROVED:</w:t>
            </w:r>
          </w:p>
        </w:tc>
        <w:tc>
          <w:tcPr>
            <w:tcW w:w="4880" w:type="dxa"/>
            <w:gridSpan w:val="3"/>
          </w:tcPr>
          <w:p w:rsidR="00BC5773" w:rsidRDefault="00454B2A" w:rsidP="000E2020">
            <w:pPr>
              <w:jc w:val="center"/>
            </w:pPr>
            <w:r>
              <w:rPr>
                <w:rFonts w:ascii="Times New Roman" w:hAnsi="Times New Roman"/>
                <w:i/>
              </w:rPr>
              <w:t>“Marilyn King”</w:t>
            </w:r>
          </w:p>
        </w:tc>
        <w:tc>
          <w:tcPr>
            <w:tcW w:w="1458" w:type="dxa"/>
            <w:gridSpan w:val="2"/>
          </w:tcPr>
          <w:p w:rsidR="00E8209B" w:rsidRDefault="00454B2A">
            <w:r>
              <w:rPr>
                <w:rFonts w:ascii="Times New Roman" w:hAnsi="Times New Roman"/>
                <w:i/>
              </w:rPr>
              <w:t>Aug.</w:t>
            </w:r>
            <w:bookmarkStart w:id="0" w:name="_GoBack"/>
            <w:bookmarkEnd w:id="0"/>
            <w:r>
              <w:rPr>
                <w:rFonts w:ascii="Times New Roman" w:hAnsi="Times New Roman"/>
                <w:i/>
              </w:rPr>
              <w:t xml:space="preserve"> 2014</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0F6142">
            <w:pPr>
              <w:ind w:left="765"/>
              <w:rPr>
                <w:rFonts w:cs="Arial"/>
              </w:rPr>
            </w:pPr>
          </w:p>
          <w:p w:rsidR="00A77832" w:rsidRDefault="00A77832" w:rsidP="00A05D69">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A05D69">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 xml:space="preserve">Sault College </w:t>
            </w:r>
            <w:proofErr w:type="spellStart"/>
            <w:r>
              <w:t>LMS</w:t>
            </w:r>
            <w:proofErr w:type="spellEnd"/>
          </w:p>
        </w:tc>
      </w:tr>
      <w:tr w:rsidR="00A77832" w:rsidTr="00992834">
        <w:trPr>
          <w:cantSplit/>
          <w:trHeight w:val="315"/>
        </w:trPr>
        <w:tc>
          <w:tcPr>
            <w:tcW w:w="675" w:type="dxa"/>
          </w:tcPr>
          <w:p w:rsidR="00A77832" w:rsidRPr="00D505AF" w:rsidRDefault="00A77832" w:rsidP="00196277">
            <w:pPr>
              <w:rPr>
                <w:b/>
              </w:rPr>
            </w:pPr>
          </w:p>
        </w:tc>
        <w:tc>
          <w:tcPr>
            <w:tcW w:w="8181" w:type="dxa"/>
          </w:tcPr>
          <w:p w:rsidR="00A77832" w:rsidRPr="00D505AF" w:rsidRDefault="00A77832" w:rsidP="00196277">
            <w:pPr>
              <w:spacing w:before="60" w:after="60"/>
              <w:rPr>
                <w:rFonts w:cs="Arial"/>
                <w:b/>
              </w:rPr>
            </w:pP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9A1605" w:rsidRDefault="009A1605"/>
    <w:p w:rsidR="00194DDA" w:rsidRDefault="00194DDA"/>
    <w:p w:rsidR="00194DDA" w:rsidRDefault="00194DDA"/>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2B74BC" w:rsidRDefault="002B74BC" w:rsidP="000E2020"/>
        </w:tc>
      </w:tr>
    </w:tbl>
    <w:p w:rsidR="002B74BC" w:rsidRPr="002B74BC" w:rsidRDefault="002B74BC" w:rsidP="002B74BC">
      <w:pPr>
        <w:rPr>
          <w:u w:val="single"/>
        </w:rPr>
      </w:pPr>
      <w:r w:rsidRPr="002B74BC">
        <w:tab/>
      </w:r>
      <w:r w:rsidRPr="002B74BC">
        <w:rPr>
          <w:u w:val="single"/>
        </w:rPr>
        <w:t>Extenuating Circumstances (Test Absence)</w:t>
      </w:r>
    </w:p>
    <w:p w:rsidR="00BC472F" w:rsidRDefault="002B74BC" w:rsidP="002B74BC">
      <w:r>
        <w:tab/>
        <w:t xml:space="preserve">If there is absence from a test due to extenuating circumstances, upon </w:t>
      </w:r>
      <w:r>
        <w:tab/>
        <w:t xml:space="preserve">professor’s approval, alternate arrangements may be available. As per individual </w:t>
      </w:r>
      <w:r>
        <w:tab/>
        <w:t xml:space="preserve">consideration, student may be granted a maximum of a passing grade for the </w:t>
      </w:r>
      <w:r>
        <w:tab/>
        <w:t>missed test.</w:t>
      </w:r>
    </w:p>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5" w:rsidRDefault="00D471B5">
      <w:r>
        <w:separator/>
      </w:r>
    </w:p>
  </w:endnote>
  <w:endnote w:type="continuationSeparator" w:id="0">
    <w:p w:rsidR="00D471B5" w:rsidRDefault="00D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5" w:rsidRDefault="00D471B5">
      <w:r>
        <w:separator/>
      </w:r>
    </w:p>
  </w:footnote>
  <w:footnote w:type="continuationSeparator" w:id="0">
    <w:p w:rsidR="00D471B5" w:rsidRDefault="00D4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471B5" w:rsidRDefault="00D4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54B2A">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471B5">
      <w:tc>
        <w:tcPr>
          <w:tcW w:w="3794" w:type="dxa"/>
        </w:tcPr>
        <w:p w:rsidR="00D471B5" w:rsidRDefault="00D471B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471B5" w:rsidRDefault="00D471B5">
          <w:pPr>
            <w:pStyle w:val="Header"/>
            <w:jc w:val="center"/>
            <w:rPr>
              <w:b/>
              <w:bCs/>
              <w:snapToGrid w:val="0"/>
            </w:rPr>
          </w:pPr>
        </w:p>
      </w:tc>
      <w:tc>
        <w:tcPr>
          <w:tcW w:w="3928" w:type="dxa"/>
        </w:tcPr>
        <w:p w:rsidR="00D471B5" w:rsidRDefault="00D471B5">
          <w:pPr>
            <w:pStyle w:val="Header"/>
            <w:jc w:val="right"/>
            <w:rPr>
              <w:b/>
              <w:bCs/>
              <w:snapToGrid w:val="0"/>
            </w:rPr>
          </w:pPr>
          <w:r>
            <w:rPr>
              <w:b/>
              <w:bCs/>
              <w:snapToGrid w:val="0"/>
            </w:rPr>
            <w:t>PSW123</w:t>
          </w:r>
        </w:p>
      </w:tc>
    </w:tr>
  </w:tbl>
  <w:p w:rsidR="00D471B5" w:rsidRDefault="00D471B5"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4DDA"/>
    <w:rsid w:val="00196277"/>
    <w:rsid w:val="001B3BEF"/>
    <w:rsid w:val="001C30B2"/>
    <w:rsid w:val="001D1BB4"/>
    <w:rsid w:val="001E7285"/>
    <w:rsid w:val="001E776F"/>
    <w:rsid w:val="00206228"/>
    <w:rsid w:val="00230262"/>
    <w:rsid w:val="002479F2"/>
    <w:rsid w:val="00254722"/>
    <w:rsid w:val="002863FD"/>
    <w:rsid w:val="002B74BC"/>
    <w:rsid w:val="002D233E"/>
    <w:rsid w:val="002D2C18"/>
    <w:rsid w:val="002D443A"/>
    <w:rsid w:val="002E3A36"/>
    <w:rsid w:val="00311AB0"/>
    <w:rsid w:val="00325154"/>
    <w:rsid w:val="003312B6"/>
    <w:rsid w:val="00345421"/>
    <w:rsid w:val="00363E4F"/>
    <w:rsid w:val="00365855"/>
    <w:rsid w:val="003805AA"/>
    <w:rsid w:val="00391528"/>
    <w:rsid w:val="003C3E0D"/>
    <w:rsid w:val="003D1369"/>
    <w:rsid w:val="004044EC"/>
    <w:rsid w:val="00407B86"/>
    <w:rsid w:val="00415175"/>
    <w:rsid w:val="00454B2A"/>
    <w:rsid w:val="004631AE"/>
    <w:rsid w:val="00474AAC"/>
    <w:rsid w:val="00490F2C"/>
    <w:rsid w:val="004C6423"/>
    <w:rsid w:val="004D7D7A"/>
    <w:rsid w:val="004F061D"/>
    <w:rsid w:val="00540E29"/>
    <w:rsid w:val="005522C7"/>
    <w:rsid w:val="00563A29"/>
    <w:rsid w:val="00583A40"/>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B59C2"/>
    <w:rsid w:val="007D0B9F"/>
    <w:rsid w:val="007D187C"/>
    <w:rsid w:val="007E1EF1"/>
    <w:rsid w:val="007E6025"/>
    <w:rsid w:val="007E6E1E"/>
    <w:rsid w:val="008508C7"/>
    <w:rsid w:val="008541B4"/>
    <w:rsid w:val="008612A4"/>
    <w:rsid w:val="008A01BC"/>
    <w:rsid w:val="008A22ED"/>
    <w:rsid w:val="008B7D53"/>
    <w:rsid w:val="008E70C4"/>
    <w:rsid w:val="008F3787"/>
    <w:rsid w:val="00976EB5"/>
    <w:rsid w:val="00987289"/>
    <w:rsid w:val="0099075F"/>
    <w:rsid w:val="00991AD4"/>
    <w:rsid w:val="00992834"/>
    <w:rsid w:val="00992B56"/>
    <w:rsid w:val="009A1605"/>
    <w:rsid w:val="009C2A7D"/>
    <w:rsid w:val="009C33F6"/>
    <w:rsid w:val="009F3C7D"/>
    <w:rsid w:val="00A05D69"/>
    <w:rsid w:val="00A12AEF"/>
    <w:rsid w:val="00A63EBD"/>
    <w:rsid w:val="00A65235"/>
    <w:rsid w:val="00A77832"/>
    <w:rsid w:val="00A83EA3"/>
    <w:rsid w:val="00AB09F5"/>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D4B5C"/>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471B5"/>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95394"/>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55953-7A0A-4612-BC4E-14AC73A002F0}"/>
</file>

<file path=customXml/itemProps2.xml><?xml version="1.0" encoding="utf-8"?>
<ds:datastoreItem xmlns:ds="http://schemas.openxmlformats.org/officeDocument/2006/customXml" ds:itemID="{437F3C89-D69F-49D6-84D1-F106C8401668}"/>
</file>

<file path=customXml/itemProps3.xml><?xml version="1.0" encoding="utf-8"?>
<ds:datastoreItem xmlns:ds="http://schemas.openxmlformats.org/officeDocument/2006/customXml" ds:itemID="{3C3B2BB2-E1E1-4596-AE08-BD203851CC69}"/>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9</Pages>
  <Words>2392</Words>
  <Characters>14642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2014-08-07T16:59:00Z</cp:lastPrinted>
  <dcterms:created xsi:type="dcterms:W3CDTF">2014-05-26T16:02:00Z</dcterms:created>
  <dcterms:modified xsi:type="dcterms:W3CDTF">2014-08-07T16:59:00Z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5635400</vt:r8>
  </property>
</Properties>
</file>